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1C" w:rsidRPr="00EE1C6D" w:rsidRDefault="00856B6F" w:rsidP="00A8031C">
      <w:pPr>
        <w:tabs>
          <w:tab w:val="left" w:pos="8088"/>
        </w:tabs>
        <w:spacing w:after="120" w:line="360" w:lineRule="auto"/>
        <w:jc w:val="both"/>
        <w:rPr>
          <w:rFonts w:ascii="Arial" w:hAnsi="Arial" w:cs="Arial"/>
          <w:sz w:val="20"/>
          <w:lang w:val="en-GB"/>
        </w:rPr>
      </w:pPr>
      <w:r>
        <w:rPr>
          <w:rFonts w:ascii="Arial" w:hAnsi="Arial" w:cs="Arial"/>
          <w:b/>
          <w:sz w:val="20"/>
          <w:lang w:val="en-GB"/>
        </w:rPr>
        <w:t>Supplementary online material</w:t>
      </w:r>
      <w:r w:rsidR="00626D82">
        <w:rPr>
          <w:rFonts w:ascii="Arial" w:hAnsi="Arial" w:cs="Arial"/>
          <w:b/>
          <w:sz w:val="20"/>
          <w:lang w:val="en-GB"/>
        </w:rPr>
        <w:t xml:space="preserve"> –</w:t>
      </w:r>
      <w:r w:rsidR="000B59FF">
        <w:rPr>
          <w:rFonts w:ascii="Arial" w:hAnsi="Arial" w:cs="Arial"/>
          <w:b/>
          <w:sz w:val="20"/>
          <w:lang w:val="en-GB"/>
        </w:rPr>
        <w:t xml:space="preserve"> Table 1:</w:t>
      </w:r>
      <w:r w:rsidR="00C6119A">
        <w:rPr>
          <w:rFonts w:ascii="Arial" w:hAnsi="Arial" w:cs="Arial"/>
          <w:b/>
          <w:sz w:val="20"/>
          <w:lang w:val="en-GB"/>
        </w:rPr>
        <w:t xml:space="preserve"> </w:t>
      </w:r>
      <w:r w:rsidR="00A8031C" w:rsidRPr="00EE1C6D">
        <w:rPr>
          <w:rFonts w:ascii="Arial" w:hAnsi="Arial" w:cs="Arial"/>
          <w:b/>
          <w:sz w:val="20"/>
          <w:lang w:val="en-GB"/>
        </w:rPr>
        <w:t>Survey statements related to attitude, support and intent towards responsible waste management</w:t>
      </w:r>
    </w:p>
    <w:tbl>
      <w:tblPr>
        <w:tblStyle w:val="TableGrid"/>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7"/>
        <w:gridCol w:w="170"/>
        <w:gridCol w:w="1269"/>
        <w:gridCol w:w="1361"/>
        <w:gridCol w:w="1903"/>
        <w:gridCol w:w="3969"/>
      </w:tblGrid>
      <w:tr w:rsidR="00A8031C" w:rsidRPr="00451246" w:rsidTr="003E36A5">
        <w:trPr>
          <w:tblHeader/>
        </w:trPr>
        <w:tc>
          <w:tcPr>
            <w:tcW w:w="5078" w:type="dxa"/>
            <w:gridSpan w:val="2"/>
            <w:vMerge w:val="restart"/>
            <w:tcBorders>
              <w:top w:val="single" w:sz="4" w:space="0" w:color="auto"/>
            </w:tcBorders>
            <w:vAlign w:val="center"/>
          </w:tcPr>
          <w:p w:rsidR="00A8031C" w:rsidRPr="001676CA" w:rsidRDefault="00A8031C" w:rsidP="003E36A5">
            <w:pPr>
              <w:snapToGrid w:val="0"/>
              <w:spacing w:after="0" w:line="240" w:lineRule="auto"/>
              <w:jc w:val="left"/>
              <w:rPr>
                <w:rFonts w:ascii="Arial" w:hAnsi="Arial" w:cs="Arial"/>
                <w:b/>
                <w:sz w:val="18"/>
                <w:lang w:val="en-GB"/>
              </w:rPr>
            </w:pPr>
            <w:r w:rsidRPr="001676CA">
              <w:rPr>
                <w:rFonts w:ascii="Arial" w:hAnsi="Arial" w:cs="Arial"/>
                <w:b/>
                <w:sz w:val="18"/>
                <w:lang w:val="en-GB"/>
              </w:rPr>
              <w:t>Statement</w:t>
            </w:r>
          </w:p>
        </w:tc>
        <w:tc>
          <w:tcPr>
            <w:tcW w:w="4703" w:type="dxa"/>
            <w:gridSpan w:val="4"/>
            <w:tcBorders>
              <w:top w:val="single" w:sz="4" w:space="0" w:color="auto"/>
            </w:tcBorders>
            <w:vAlign w:val="center"/>
          </w:tcPr>
          <w:p w:rsidR="00A8031C" w:rsidRDefault="00A8031C" w:rsidP="003E36A5">
            <w:pPr>
              <w:snapToGrid w:val="0"/>
              <w:spacing w:after="0" w:line="240" w:lineRule="auto"/>
              <w:jc w:val="left"/>
              <w:rPr>
                <w:rFonts w:ascii="Arial" w:hAnsi="Arial" w:cs="Arial"/>
                <w:b/>
                <w:sz w:val="18"/>
                <w:lang w:val="en-GB"/>
              </w:rPr>
            </w:pPr>
            <w:r w:rsidRPr="001676CA">
              <w:rPr>
                <w:rFonts w:ascii="Arial" w:hAnsi="Arial" w:cs="Arial"/>
                <w:b/>
                <w:sz w:val="18"/>
                <w:lang w:val="en-GB"/>
              </w:rPr>
              <w:t>Statement included in survey to:</w:t>
            </w:r>
          </w:p>
          <w:p w:rsidR="00626D82" w:rsidRPr="001676CA" w:rsidRDefault="00626D82" w:rsidP="003E36A5">
            <w:pPr>
              <w:snapToGrid w:val="0"/>
              <w:spacing w:after="0" w:line="240" w:lineRule="auto"/>
              <w:jc w:val="left"/>
              <w:rPr>
                <w:rFonts w:ascii="Arial" w:hAnsi="Arial" w:cs="Arial"/>
                <w:b/>
                <w:sz w:val="18"/>
                <w:lang w:val="en-GB"/>
              </w:rPr>
            </w:pPr>
          </w:p>
        </w:tc>
        <w:tc>
          <w:tcPr>
            <w:tcW w:w="3969" w:type="dxa"/>
            <w:vMerge w:val="restart"/>
            <w:tcBorders>
              <w:top w:val="single" w:sz="4" w:space="0" w:color="auto"/>
            </w:tcBorders>
            <w:vAlign w:val="center"/>
          </w:tcPr>
          <w:p w:rsidR="00A8031C" w:rsidRPr="001676CA" w:rsidRDefault="00A8031C" w:rsidP="003E36A5">
            <w:pPr>
              <w:snapToGrid w:val="0"/>
              <w:spacing w:after="0" w:line="240" w:lineRule="auto"/>
              <w:jc w:val="left"/>
              <w:rPr>
                <w:rFonts w:ascii="Arial" w:hAnsi="Arial" w:cs="Arial"/>
                <w:b/>
                <w:sz w:val="18"/>
                <w:lang w:val="en-GB"/>
              </w:rPr>
            </w:pPr>
            <w:r w:rsidRPr="001676CA">
              <w:rPr>
                <w:rFonts w:ascii="Arial" w:hAnsi="Arial" w:cs="Arial"/>
                <w:b/>
                <w:sz w:val="18"/>
                <w:lang w:val="en-GB"/>
              </w:rPr>
              <w:t>Focus</w:t>
            </w:r>
          </w:p>
        </w:tc>
      </w:tr>
      <w:tr w:rsidR="00A8031C" w:rsidRPr="00451246" w:rsidTr="003E36A5">
        <w:trPr>
          <w:tblHeader/>
        </w:trPr>
        <w:tc>
          <w:tcPr>
            <w:tcW w:w="5078" w:type="dxa"/>
            <w:gridSpan w:val="2"/>
            <w:vMerge/>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b/>
                <w:sz w:val="18"/>
                <w:lang w:val="en-GB"/>
              </w:rPr>
            </w:pPr>
          </w:p>
        </w:tc>
        <w:tc>
          <w:tcPr>
            <w:tcW w:w="1439" w:type="dxa"/>
            <w:gridSpan w:val="2"/>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b/>
                <w:sz w:val="18"/>
                <w:lang w:val="en-GB"/>
              </w:rPr>
            </w:pPr>
            <w:r w:rsidRPr="001676CA">
              <w:rPr>
                <w:rFonts w:ascii="Arial" w:hAnsi="Arial" w:cs="Arial"/>
                <w:b/>
                <w:sz w:val="18"/>
                <w:lang w:val="en-GB"/>
              </w:rPr>
              <w:t>Management authority</w:t>
            </w:r>
          </w:p>
        </w:tc>
        <w:tc>
          <w:tcPr>
            <w:tcW w:w="1361" w:type="dxa"/>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b/>
                <w:sz w:val="18"/>
                <w:lang w:val="en-GB"/>
              </w:rPr>
            </w:pPr>
            <w:r w:rsidRPr="001676CA">
              <w:rPr>
                <w:rFonts w:ascii="Arial" w:hAnsi="Arial" w:cs="Arial"/>
                <w:b/>
                <w:sz w:val="18"/>
                <w:lang w:val="en-GB"/>
              </w:rPr>
              <w:t>Commercial properties</w:t>
            </w:r>
          </w:p>
        </w:tc>
        <w:tc>
          <w:tcPr>
            <w:tcW w:w="1903" w:type="dxa"/>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b/>
                <w:sz w:val="18"/>
                <w:lang w:val="en-GB"/>
              </w:rPr>
            </w:pPr>
            <w:r w:rsidRPr="001676CA">
              <w:rPr>
                <w:rFonts w:ascii="Arial" w:hAnsi="Arial" w:cs="Arial"/>
                <w:b/>
                <w:sz w:val="18"/>
                <w:lang w:val="en-GB"/>
              </w:rPr>
              <w:t>Non-commercial properties</w:t>
            </w:r>
          </w:p>
        </w:tc>
        <w:tc>
          <w:tcPr>
            <w:tcW w:w="3969" w:type="dxa"/>
            <w:vMerge/>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b/>
                <w:sz w:val="18"/>
                <w:lang w:val="en-GB"/>
              </w:rPr>
            </w:pPr>
          </w:p>
        </w:tc>
      </w:tr>
      <w:tr w:rsidR="00A8031C" w:rsidRPr="00451246" w:rsidTr="003E36A5">
        <w:trPr>
          <w:trHeight w:val="377"/>
        </w:trPr>
        <w:tc>
          <w:tcPr>
            <w:tcW w:w="6517" w:type="dxa"/>
            <w:gridSpan w:val="4"/>
            <w:vAlign w:val="center"/>
          </w:tcPr>
          <w:p w:rsidR="00A8031C" w:rsidRPr="001676CA" w:rsidRDefault="00A8031C" w:rsidP="003E36A5">
            <w:pPr>
              <w:snapToGrid w:val="0"/>
              <w:spacing w:after="0" w:line="240" w:lineRule="auto"/>
              <w:jc w:val="left"/>
              <w:rPr>
                <w:rFonts w:ascii="Arial" w:hAnsi="Arial" w:cs="Arial"/>
                <w:b/>
                <w:sz w:val="18"/>
                <w:lang w:val="en-GB"/>
              </w:rPr>
            </w:pPr>
            <w:r w:rsidRPr="001676CA">
              <w:rPr>
                <w:rFonts w:ascii="Arial" w:hAnsi="Arial" w:cs="Arial"/>
                <w:b/>
                <w:i/>
                <w:sz w:val="18"/>
                <w:lang w:val="en-GB"/>
              </w:rPr>
              <w:t>Statements related to attitude (level of agreement</w:t>
            </w:r>
            <w:r>
              <w:rPr>
                <w:rStyle w:val="EndnoteReference"/>
                <w:rFonts w:ascii="Arial" w:hAnsi="Arial" w:cs="Arial"/>
                <w:b/>
                <w:i/>
                <w:sz w:val="18"/>
                <w:lang w:val="en-GB"/>
              </w:rPr>
              <w:endnoteReference w:id="1"/>
            </w:r>
            <w:r w:rsidRPr="001676CA">
              <w:rPr>
                <w:rFonts w:ascii="Arial" w:hAnsi="Arial" w:cs="Arial"/>
                <w:b/>
                <w:i/>
                <w:sz w:val="18"/>
                <w:lang w:val="en-GB"/>
              </w:rPr>
              <w:t>) and subjective norms:</w:t>
            </w:r>
            <w:r w:rsidRPr="001676CA">
              <w:rPr>
                <w:rFonts w:ascii="Arial" w:hAnsi="Arial" w:cs="Arial"/>
                <w:b/>
                <w:i/>
                <w:sz w:val="18"/>
                <w:lang w:val="en-GB"/>
              </w:rPr>
              <w:br/>
              <w:t>I believe that:</w:t>
            </w:r>
          </w:p>
        </w:tc>
        <w:tc>
          <w:tcPr>
            <w:tcW w:w="1361" w:type="dxa"/>
            <w:vAlign w:val="center"/>
          </w:tcPr>
          <w:p w:rsidR="00A8031C" w:rsidRPr="001676CA" w:rsidRDefault="00A8031C" w:rsidP="003E36A5">
            <w:pPr>
              <w:snapToGrid w:val="0"/>
              <w:spacing w:after="0" w:line="240" w:lineRule="auto"/>
              <w:jc w:val="left"/>
              <w:rPr>
                <w:rFonts w:ascii="Arial" w:hAnsi="Arial" w:cs="Arial"/>
                <w:b/>
                <w:sz w:val="18"/>
                <w:lang w:val="en-GB"/>
              </w:rPr>
            </w:pPr>
          </w:p>
        </w:tc>
        <w:tc>
          <w:tcPr>
            <w:tcW w:w="1903" w:type="dxa"/>
            <w:vAlign w:val="center"/>
          </w:tcPr>
          <w:p w:rsidR="00A8031C" w:rsidRPr="001676CA" w:rsidRDefault="00A8031C" w:rsidP="003E36A5">
            <w:pPr>
              <w:snapToGrid w:val="0"/>
              <w:spacing w:after="0" w:line="240" w:lineRule="auto"/>
              <w:jc w:val="left"/>
              <w:rPr>
                <w:rFonts w:ascii="Arial" w:hAnsi="Arial" w:cs="Arial"/>
                <w:b/>
                <w:sz w:val="18"/>
                <w:lang w:val="en-GB"/>
              </w:rPr>
            </w:pPr>
          </w:p>
        </w:tc>
        <w:tc>
          <w:tcPr>
            <w:tcW w:w="3969"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 xml:space="preserve">To determine </w:t>
            </w:r>
            <w:r w:rsidRPr="001676CA">
              <w:rPr>
                <w:rFonts w:ascii="Arial" w:hAnsi="Arial" w:cs="Arial"/>
                <w:i/>
                <w:sz w:val="18"/>
                <w:lang w:val="en-GB"/>
              </w:rPr>
              <w:t>attitude</w:t>
            </w:r>
            <w:r w:rsidRPr="001676CA">
              <w:rPr>
                <w:rFonts w:ascii="Arial" w:hAnsi="Arial" w:cs="Arial"/>
                <w:sz w:val="18"/>
                <w:lang w:val="en-GB"/>
              </w:rPr>
              <w:t xml:space="preserve"> or factors influencing attitude</w:t>
            </w:r>
            <w:r w:rsidR="00626D82">
              <w:rPr>
                <w:rFonts w:ascii="Arial" w:hAnsi="Arial" w:cs="Arial"/>
                <w:sz w:val="18"/>
                <w:lang w:val="en-GB"/>
              </w:rPr>
              <w:t>:</w:t>
            </w:r>
            <w:r w:rsidRPr="001676CA">
              <w:rPr>
                <w:rFonts w:ascii="Arial" w:hAnsi="Arial" w:cs="Arial"/>
                <w:sz w:val="18"/>
                <w:lang w:val="en-GB"/>
              </w:rPr>
              <w:t xml:space="preserve"> </w:t>
            </w:r>
          </w:p>
        </w:tc>
      </w:tr>
      <w:tr w:rsidR="00A8031C" w:rsidRPr="00451246" w:rsidTr="003E36A5">
        <w:tc>
          <w:tcPr>
            <w:tcW w:w="461"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A1</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Waste management is an essential part of sound and sustainable environmental management</w:t>
            </w:r>
          </w:p>
        </w:tc>
        <w:tc>
          <w:tcPr>
            <w:tcW w:w="1269" w:type="dxa"/>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1361" w:type="dxa"/>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3969" w:type="dxa"/>
            <w:vMerge w:val="restart"/>
            <w:vAlign w:val="center"/>
          </w:tcPr>
          <w:p w:rsidR="00A8031C" w:rsidRPr="001676CA" w:rsidRDefault="00A8031C" w:rsidP="00D37DA1">
            <w:pPr>
              <w:snapToGrid w:val="0"/>
              <w:spacing w:after="0" w:line="240" w:lineRule="auto"/>
              <w:jc w:val="left"/>
              <w:rPr>
                <w:rFonts w:ascii="Arial" w:hAnsi="Arial" w:cs="Arial"/>
                <w:sz w:val="18"/>
                <w:lang w:val="en-GB"/>
              </w:rPr>
            </w:pPr>
            <w:r w:rsidRPr="001676CA">
              <w:rPr>
                <w:rFonts w:ascii="Arial" w:hAnsi="Arial" w:cs="Arial"/>
                <w:i/>
                <w:sz w:val="18"/>
                <w:lang w:val="en-GB"/>
              </w:rPr>
              <w:t>Intrinsic motivation and inner beliefs,</w:t>
            </w:r>
            <w:r w:rsidRPr="001676CA">
              <w:rPr>
                <w:rFonts w:ascii="Arial" w:hAnsi="Arial" w:cs="Arial"/>
                <w:sz w:val="18"/>
                <w:lang w:val="en-GB"/>
              </w:rPr>
              <w:t xml:space="preserve"> such as moral norms, may influence attitude towards waste management (</w:t>
            </w:r>
            <w:bookmarkStart w:id="0" w:name="_GoBack"/>
            <w:bookmarkEnd w:id="0"/>
            <w:r w:rsidRPr="001676CA">
              <w:rPr>
                <w:rFonts w:ascii="Arial" w:hAnsi="Arial" w:cs="Arial"/>
                <w:sz w:val="18"/>
                <w:lang w:val="en-GB"/>
              </w:rPr>
              <w:t xml:space="preserve">Nguyen et al., 2015; </w:t>
            </w:r>
            <w:proofErr w:type="spellStart"/>
            <w:r w:rsidRPr="001676CA">
              <w:rPr>
                <w:rFonts w:ascii="Arial" w:hAnsi="Arial" w:cs="Arial"/>
                <w:sz w:val="18"/>
                <w:lang w:val="en-GB"/>
              </w:rPr>
              <w:t>Razali</w:t>
            </w:r>
            <w:proofErr w:type="spellEnd"/>
            <w:r w:rsidRPr="001676CA">
              <w:rPr>
                <w:rFonts w:ascii="Arial" w:hAnsi="Arial" w:cs="Arial"/>
                <w:sz w:val="18"/>
                <w:lang w:val="en-GB"/>
              </w:rPr>
              <w:t xml:space="preserve"> et al., 2020), which ultimately influences intention and behaviour. </w:t>
            </w:r>
          </w:p>
        </w:tc>
      </w:tr>
      <w:tr w:rsidR="00A8031C" w:rsidRPr="00451246" w:rsidTr="003E36A5">
        <w:tc>
          <w:tcPr>
            <w:tcW w:w="461" w:type="dxa"/>
            <w:vAlign w:val="center"/>
          </w:tcPr>
          <w:p w:rsidR="00A8031C" w:rsidRPr="001676CA" w:rsidRDefault="00A8031C" w:rsidP="003E36A5">
            <w:pPr>
              <w:tabs>
                <w:tab w:val="left" w:pos="700"/>
              </w:tabs>
              <w:snapToGrid w:val="0"/>
              <w:spacing w:after="0" w:line="240" w:lineRule="auto"/>
              <w:jc w:val="left"/>
              <w:rPr>
                <w:rFonts w:ascii="Arial" w:hAnsi="Arial" w:cs="Arial"/>
                <w:sz w:val="18"/>
                <w:lang w:val="en-GB"/>
              </w:rPr>
            </w:pPr>
            <w:r w:rsidRPr="001676CA">
              <w:rPr>
                <w:rFonts w:ascii="Arial" w:hAnsi="Arial" w:cs="Arial"/>
                <w:sz w:val="18"/>
                <w:lang w:val="en-GB"/>
              </w:rPr>
              <w:t>A2</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Waste management should form an integral part of the reserve’s activities</w:t>
            </w:r>
          </w:p>
        </w:tc>
        <w:tc>
          <w:tcPr>
            <w:tcW w:w="1269"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361" w:type="dxa"/>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3969" w:type="dxa"/>
            <w:vMerge/>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c>
          <w:tcPr>
            <w:tcW w:w="461" w:type="dxa"/>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A3</w:t>
            </w:r>
          </w:p>
        </w:tc>
        <w:tc>
          <w:tcPr>
            <w:tcW w:w="4787" w:type="dxa"/>
            <w:gridSpan w:val="2"/>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Sound waste management is for the benefit of all (commercial and non-commercial) properties</w:t>
            </w:r>
          </w:p>
        </w:tc>
        <w:tc>
          <w:tcPr>
            <w:tcW w:w="1269" w:type="dxa"/>
            <w:tcBorders>
              <w:bottom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1361" w:type="dxa"/>
            <w:tcBorders>
              <w:bottom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1903" w:type="dxa"/>
            <w:tcBorders>
              <w:bottom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3969" w:type="dxa"/>
            <w:vMerge/>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rPr>
          <w:trHeight w:val="786"/>
        </w:trPr>
        <w:tc>
          <w:tcPr>
            <w:tcW w:w="461" w:type="dxa"/>
            <w:tcBorders>
              <w:top w:val="single" w:sz="4" w:space="0" w:color="auto"/>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A4</w:t>
            </w:r>
          </w:p>
        </w:tc>
        <w:tc>
          <w:tcPr>
            <w:tcW w:w="4787" w:type="dxa"/>
            <w:gridSpan w:val="2"/>
            <w:tcBorders>
              <w:top w:val="single" w:sz="4" w:space="0" w:color="auto"/>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Sound waste management practices are expected by our guests</w:t>
            </w:r>
          </w:p>
        </w:tc>
        <w:tc>
          <w:tcPr>
            <w:tcW w:w="1269" w:type="dxa"/>
            <w:tcBorders>
              <w:top w:val="single" w:sz="4" w:space="0" w:color="auto"/>
              <w:bottom w:val="single" w:sz="4" w:space="0" w:color="auto"/>
            </w:tcBorders>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361" w:type="dxa"/>
            <w:tcBorders>
              <w:top w:val="single" w:sz="4" w:space="0" w:color="auto"/>
              <w:bottom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1903" w:type="dxa"/>
            <w:tcBorders>
              <w:top w:val="single" w:sz="4" w:space="0" w:color="auto"/>
              <w:bottom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3969" w:type="dxa"/>
            <w:tcBorders>
              <w:top w:val="single" w:sz="4" w:space="0" w:color="auto"/>
              <w:bottom w:val="single" w:sz="4" w:space="0" w:color="auto"/>
            </w:tcBorders>
            <w:vAlign w:val="center"/>
          </w:tcPr>
          <w:p w:rsidR="00A8031C" w:rsidRPr="001676CA" w:rsidRDefault="00A8031C" w:rsidP="00734619">
            <w:pPr>
              <w:snapToGrid w:val="0"/>
              <w:spacing w:after="0" w:line="240" w:lineRule="auto"/>
              <w:jc w:val="left"/>
              <w:rPr>
                <w:rFonts w:ascii="Arial" w:hAnsi="Arial" w:cs="Arial"/>
                <w:sz w:val="18"/>
                <w:lang w:val="en-GB"/>
              </w:rPr>
            </w:pPr>
            <w:r w:rsidRPr="001676CA">
              <w:rPr>
                <w:rFonts w:ascii="Arial" w:hAnsi="Arial" w:cs="Arial"/>
                <w:i/>
                <w:sz w:val="18"/>
                <w:lang w:val="en-GB"/>
              </w:rPr>
              <w:t>Subjective norms (reciprocity)</w:t>
            </w:r>
            <w:r w:rsidRPr="001676CA">
              <w:rPr>
                <w:rFonts w:ascii="Arial" w:hAnsi="Arial" w:cs="Arial"/>
                <w:sz w:val="18"/>
                <w:lang w:val="en-GB"/>
              </w:rPr>
              <w:t>: Pressure or expectations from others may influence attitude towards waste management (Ghani et al., 2013).</w:t>
            </w:r>
          </w:p>
        </w:tc>
      </w:tr>
      <w:tr w:rsidR="00A8031C" w:rsidRPr="00451246" w:rsidTr="003E36A5">
        <w:trPr>
          <w:trHeight w:val="299"/>
        </w:trPr>
        <w:tc>
          <w:tcPr>
            <w:tcW w:w="461" w:type="dxa"/>
            <w:tcBorders>
              <w:top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A5</w:t>
            </w:r>
          </w:p>
        </w:tc>
        <w:tc>
          <w:tcPr>
            <w:tcW w:w="4787" w:type="dxa"/>
            <w:gridSpan w:val="2"/>
            <w:tcBorders>
              <w:top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Sound waste management can improve the image of the PNR and marketing of the PNR’s brand</w:t>
            </w:r>
          </w:p>
        </w:tc>
        <w:tc>
          <w:tcPr>
            <w:tcW w:w="1269" w:type="dxa"/>
            <w:tcBorders>
              <w:top w:val="single" w:sz="4" w:space="0" w:color="auto"/>
            </w:tcBorders>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361" w:type="dxa"/>
            <w:tcBorders>
              <w:top w:val="single" w:sz="4" w:space="0" w:color="auto"/>
            </w:tcBorders>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tcBorders>
              <w:top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3969" w:type="dxa"/>
            <w:vMerge w:val="restart"/>
            <w:tcBorders>
              <w:top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i/>
                <w:sz w:val="18"/>
                <w:lang w:val="en-GB"/>
              </w:rPr>
              <w:t xml:space="preserve">Extrinsic motivation </w:t>
            </w:r>
            <w:r w:rsidRPr="001676CA">
              <w:rPr>
                <w:rFonts w:ascii="Arial" w:hAnsi="Arial" w:cs="Arial"/>
                <w:sz w:val="18"/>
                <w:lang w:val="en-GB"/>
              </w:rPr>
              <w:t xml:space="preserve">(Nguyen et al., 2015), such as recognition or reward from external sources, cost, effort and inconvenience associated with waste management (which may be perceived negatively by respondents), as well as positive contributions such as improved image may influence attitude towards waste management. </w:t>
            </w:r>
          </w:p>
        </w:tc>
      </w:tr>
      <w:tr w:rsidR="00A8031C" w:rsidRPr="00451246" w:rsidTr="003E36A5">
        <w:trPr>
          <w:trHeight w:val="442"/>
        </w:trPr>
        <w:tc>
          <w:tcPr>
            <w:tcW w:w="461"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A6</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The cost and effort associated with sound waste management do not outweigh the benefit</w:t>
            </w:r>
          </w:p>
        </w:tc>
        <w:tc>
          <w:tcPr>
            <w:tcW w:w="1269"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361"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3969" w:type="dxa"/>
            <w:vMerge/>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rPr>
          <w:trHeight w:val="861"/>
        </w:trPr>
        <w:tc>
          <w:tcPr>
            <w:tcW w:w="461" w:type="dxa"/>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A7</w:t>
            </w:r>
          </w:p>
        </w:tc>
        <w:tc>
          <w:tcPr>
            <w:tcW w:w="4787" w:type="dxa"/>
            <w:gridSpan w:val="2"/>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Sound waste management considerations are more important than convenience and the tourism experience of our guests (i.e. certain waste management alternatives may be inconvenient or unacceptable to guests)</w:t>
            </w:r>
          </w:p>
        </w:tc>
        <w:tc>
          <w:tcPr>
            <w:tcW w:w="1269" w:type="dxa"/>
            <w:tcBorders>
              <w:bottom w:val="single" w:sz="4" w:space="0" w:color="auto"/>
            </w:tcBorders>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361" w:type="dxa"/>
            <w:tcBorders>
              <w:bottom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r w:rsidRPr="001676CA">
              <w:rPr>
                <w:rFonts w:ascii="Arial" w:hAnsi="Arial" w:cs="Arial"/>
                <w:sz w:val="18"/>
                <w:lang w:val="en-GB"/>
              </w:rPr>
              <w:t>√</w:t>
            </w:r>
          </w:p>
        </w:tc>
        <w:tc>
          <w:tcPr>
            <w:tcW w:w="1903" w:type="dxa"/>
            <w:tcBorders>
              <w:bottom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3969" w:type="dxa"/>
            <w:vMerge/>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rPr>
          <w:trHeight w:val="162"/>
        </w:trPr>
        <w:tc>
          <w:tcPr>
            <w:tcW w:w="13750" w:type="dxa"/>
            <w:gridSpan w:val="7"/>
            <w:tcBorders>
              <w:top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b/>
                <w:i/>
                <w:sz w:val="18"/>
                <w:lang w:val="en-GB"/>
              </w:rPr>
              <w:t>Support towards a coordinated integrated waste management strategy and action plan (level of support</w:t>
            </w:r>
            <w:r>
              <w:rPr>
                <w:rStyle w:val="EndnoteReference"/>
                <w:rFonts w:ascii="Arial" w:hAnsi="Arial" w:cs="Arial"/>
                <w:b/>
                <w:i/>
                <w:sz w:val="18"/>
                <w:lang w:val="en-GB"/>
              </w:rPr>
              <w:endnoteReference w:id="2"/>
            </w:r>
            <w:r w:rsidRPr="001676CA">
              <w:rPr>
                <w:rFonts w:ascii="Arial" w:hAnsi="Arial" w:cs="Arial"/>
                <w:b/>
                <w:i/>
                <w:sz w:val="18"/>
                <w:lang w:val="en-GB"/>
              </w:rPr>
              <w:t>):</w:t>
            </w:r>
          </w:p>
        </w:tc>
      </w:tr>
      <w:tr w:rsidR="00A8031C" w:rsidRPr="00451246" w:rsidTr="003E36A5">
        <w:tc>
          <w:tcPr>
            <w:tcW w:w="461" w:type="dxa"/>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S1</w:t>
            </w:r>
          </w:p>
        </w:tc>
        <w:tc>
          <w:tcPr>
            <w:tcW w:w="4787" w:type="dxa"/>
            <w:gridSpan w:val="2"/>
            <w:tcBorders>
              <w:bottom w:val="single" w:sz="4" w:space="0" w:color="auto"/>
            </w:tcBorders>
            <w:vAlign w:val="center"/>
          </w:tcPr>
          <w:p w:rsidR="00A8031C" w:rsidRPr="001676CA" w:rsidRDefault="00A8031C" w:rsidP="00626D82">
            <w:pPr>
              <w:snapToGrid w:val="0"/>
              <w:spacing w:after="0" w:line="240" w:lineRule="auto"/>
              <w:jc w:val="left"/>
              <w:rPr>
                <w:rFonts w:ascii="Arial" w:hAnsi="Arial" w:cs="Arial"/>
                <w:sz w:val="18"/>
                <w:lang w:val="en-GB"/>
              </w:rPr>
            </w:pPr>
            <w:r w:rsidRPr="001676CA">
              <w:rPr>
                <w:rFonts w:ascii="Arial" w:hAnsi="Arial" w:cs="Arial"/>
                <w:sz w:val="18"/>
                <w:lang w:val="en-GB"/>
              </w:rPr>
              <w:t xml:space="preserve">Please indicate your support towards the development of a waste management strategy and plan, with the aim to coordinate </w:t>
            </w:r>
            <w:r w:rsidR="00626D82">
              <w:rPr>
                <w:rFonts w:ascii="Arial" w:hAnsi="Arial" w:cs="Arial"/>
                <w:sz w:val="18"/>
                <w:lang w:val="en-GB"/>
              </w:rPr>
              <w:t>goals</w:t>
            </w:r>
            <w:r w:rsidRPr="001676CA">
              <w:rPr>
                <w:rFonts w:ascii="Arial" w:hAnsi="Arial" w:cs="Arial"/>
                <w:sz w:val="18"/>
                <w:lang w:val="en-GB"/>
              </w:rPr>
              <w:t>, objectives and actions for waste management at the PNR.</w:t>
            </w:r>
          </w:p>
        </w:tc>
        <w:tc>
          <w:tcPr>
            <w:tcW w:w="1269" w:type="dxa"/>
            <w:tcBorders>
              <w:bottom w:val="single" w:sz="4" w:space="0" w:color="auto"/>
            </w:tcBorders>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361" w:type="dxa"/>
            <w:tcBorders>
              <w:bottom w:val="single" w:sz="4" w:space="0" w:color="auto"/>
            </w:tcBorders>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tcBorders>
              <w:bottom w:val="single" w:sz="4" w:space="0" w:color="auto"/>
            </w:tcBorders>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3969" w:type="dxa"/>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i/>
                <w:sz w:val="18"/>
                <w:lang w:val="en-GB"/>
              </w:rPr>
              <w:t xml:space="preserve">Support </w:t>
            </w:r>
            <w:r w:rsidRPr="001676CA">
              <w:rPr>
                <w:rFonts w:ascii="Arial" w:hAnsi="Arial" w:cs="Arial"/>
                <w:sz w:val="18"/>
                <w:lang w:val="en-GB"/>
              </w:rPr>
              <w:t xml:space="preserve">or agreement with policies or interventions (also referred to as </w:t>
            </w:r>
            <w:r w:rsidR="00626D82">
              <w:rPr>
                <w:rFonts w:ascii="Arial" w:hAnsi="Arial" w:cs="Arial"/>
                <w:sz w:val="18"/>
                <w:lang w:val="en-GB"/>
              </w:rPr>
              <w:t>‘</w:t>
            </w:r>
            <w:r w:rsidRPr="001676CA">
              <w:rPr>
                <w:rFonts w:ascii="Arial" w:hAnsi="Arial" w:cs="Arial"/>
                <w:sz w:val="18"/>
                <w:lang w:val="en-GB"/>
              </w:rPr>
              <w:t>buy-in</w:t>
            </w:r>
            <w:r w:rsidR="00626D82">
              <w:rPr>
                <w:rFonts w:ascii="Arial" w:hAnsi="Arial" w:cs="Arial"/>
                <w:sz w:val="18"/>
                <w:lang w:val="en-GB"/>
              </w:rPr>
              <w:t>’</w:t>
            </w:r>
            <w:r w:rsidRPr="001676CA">
              <w:rPr>
                <w:rFonts w:ascii="Arial" w:hAnsi="Arial" w:cs="Arial"/>
                <w:sz w:val="18"/>
                <w:lang w:val="en-GB"/>
              </w:rPr>
              <w:t xml:space="preserve">) may have a positive impact on behavioural intention (Chen et al., 2020). </w:t>
            </w:r>
          </w:p>
        </w:tc>
      </w:tr>
      <w:tr w:rsidR="00A8031C" w:rsidRPr="00451246" w:rsidTr="003E36A5">
        <w:tc>
          <w:tcPr>
            <w:tcW w:w="5248" w:type="dxa"/>
            <w:gridSpan w:val="3"/>
            <w:tcBorders>
              <w:top w:val="single" w:sz="4" w:space="0" w:color="auto"/>
            </w:tcBorders>
            <w:vAlign w:val="center"/>
          </w:tcPr>
          <w:p w:rsidR="00A8031C" w:rsidRPr="001676CA" w:rsidRDefault="00A8031C" w:rsidP="003E36A5">
            <w:pPr>
              <w:snapToGrid w:val="0"/>
              <w:spacing w:after="0" w:line="240" w:lineRule="auto"/>
              <w:jc w:val="left"/>
              <w:rPr>
                <w:rFonts w:ascii="Arial" w:hAnsi="Arial" w:cs="Arial"/>
                <w:b/>
                <w:i/>
                <w:sz w:val="18"/>
                <w:lang w:val="en-GB"/>
              </w:rPr>
            </w:pPr>
            <w:r w:rsidRPr="001676CA">
              <w:rPr>
                <w:rFonts w:ascii="Arial" w:hAnsi="Arial" w:cs="Arial"/>
                <w:b/>
                <w:i/>
                <w:sz w:val="18"/>
                <w:lang w:val="en-GB"/>
              </w:rPr>
              <w:t>Statements related to intention (level of willingness</w:t>
            </w:r>
            <w:r>
              <w:rPr>
                <w:rStyle w:val="EndnoteReference"/>
                <w:rFonts w:ascii="Arial" w:hAnsi="Arial" w:cs="Arial"/>
                <w:b/>
                <w:i/>
                <w:sz w:val="18"/>
                <w:lang w:val="en-GB"/>
              </w:rPr>
              <w:endnoteReference w:id="3"/>
            </w:r>
            <w:r w:rsidRPr="001676CA">
              <w:rPr>
                <w:rFonts w:ascii="Arial" w:hAnsi="Arial" w:cs="Arial"/>
                <w:b/>
                <w:i/>
                <w:sz w:val="18"/>
                <w:lang w:val="en-GB"/>
              </w:rPr>
              <w:t>):</w:t>
            </w:r>
            <w:r w:rsidRPr="001676CA">
              <w:rPr>
                <w:rFonts w:ascii="Arial" w:hAnsi="Arial" w:cs="Arial"/>
                <w:b/>
                <w:i/>
                <w:sz w:val="18"/>
                <w:lang w:val="en-GB"/>
              </w:rPr>
              <w:br/>
              <w:t>I intend to:</w:t>
            </w:r>
          </w:p>
        </w:tc>
        <w:tc>
          <w:tcPr>
            <w:tcW w:w="1269" w:type="dxa"/>
            <w:tcBorders>
              <w:top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361" w:type="dxa"/>
            <w:tcBorders>
              <w:top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903" w:type="dxa"/>
            <w:tcBorders>
              <w:top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3969" w:type="dxa"/>
            <w:vMerge w:val="restart"/>
            <w:tcBorders>
              <w:top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 xml:space="preserve">To determine the </w:t>
            </w:r>
            <w:r w:rsidRPr="001676CA">
              <w:rPr>
                <w:rFonts w:ascii="Arial" w:hAnsi="Arial" w:cs="Arial"/>
                <w:i/>
                <w:sz w:val="18"/>
                <w:lang w:val="en-GB"/>
              </w:rPr>
              <w:t xml:space="preserve">intention </w:t>
            </w:r>
            <w:r w:rsidRPr="001676CA">
              <w:rPr>
                <w:rFonts w:ascii="Arial" w:hAnsi="Arial" w:cs="Arial"/>
                <w:sz w:val="18"/>
                <w:lang w:val="en-GB"/>
              </w:rPr>
              <w:t>(or level of willingness) of respondents related to the implementation of specific waste management measures, since intention to behave in a certain way may, ultimately, lead to specific waste-related behaviour (Ghani et al., 2013).</w:t>
            </w:r>
          </w:p>
        </w:tc>
      </w:tr>
      <w:tr w:rsidR="00A8031C" w:rsidRPr="00451246" w:rsidTr="003E36A5">
        <w:tc>
          <w:tcPr>
            <w:tcW w:w="461"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I1</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Implement activities outlined in the PNR</w:t>
            </w:r>
            <w:r w:rsidR="00626D82">
              <w:rPr>
                <w:rFonts w:ascii="Arial" w:hAnsi="Arial" w:cs="Arial"/>
                <w:sz w:val="18"/>
                <w:lang w:val="en-GB"/>
              </w:rPr>
              <w:t>’</w:t>
            </w:r>
            <w:r w:rsidRPr="001676CA">
              <w:rPr>
                <w:rFonts w:ascii="Arial" w:hAnsi="Arial" w:cs="Arial"/>
                <w:sz w:val="18"/>
                <w:lang w:val="en-GB"/>
              </w:rPr>
              <w:t>s integrated waste management strategy (IWMS)</w:t>
            </w:r>
          </w:p>
        </w:tc>
        <w:tc>
          <w:tcPr>
            <w:tcW w:w="1269" w:type="dxa"/>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361"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3969" w:type="dxa"/>
            <w:vMerge/>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c>
          <w:tcPr>
            <w:tcW w:w="461"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I2</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 xml:space="preserve">Allocate human resources towards waste management </w:t>
            </w:r>
          </w:p>
        </w:tc>
        <w:tc>
          <w:tcPr>
            <w:tcW w:w="1269" w:type="dxa"/>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361"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3969" w:type="dxa"/>
            <w:vMerge/>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c>
          <w:tcPr>
            <w:tcW w:w="461"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I3</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Avoid the purchasing of non-recyclable materials</w:t>
            </w:r>
          </w:p>
        </w:tc>
        <w:tc>
          <w:tcPr>
            <w:tcW w:w="1269" w:type="dxa"/>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361"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3969" w:type="dxa"/>
            <w:vMerge/>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c>
          <w:tcPr>
            <w:tcW w:w="461"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I4</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Replace non-recyclable materials with recyclable materials</w:t>
            </w:r>
          </w:p>
        </w:tc>
        <w:tc>
          <w:tcPr>
            <w:tcW w:w="1269" w:type="dxa"/>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361"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3969" w:type="dxa"/>
            <w:vMerge/>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c>
          <w:tcPr>
            <w:tcW w:w="461"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I5</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Require visitors/occupants to participate in waste separation at source activities</w:t>
            </w:r>
          </w:p>
        </w:tc>
        <w:tc>
          <w:tcPr>
            <w:tcW w:w="1269" w:type="dxa"/>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361"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3969" w:type="dxa"/>
            <w:vMerge/>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c>
          <w:tcPr>
            <w:tcW w:w="461"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lastRenderedPageBreak/>
              <w:t>I6</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Restrict the disposal of certain waste streams at the PNR</w:t>
            </w:r>
          </w:p>
        </w:tc>
        <w:tc>
          <w:tcPr>
            <w:tcW w:w="1269" w:type="dxa"/>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361"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3969" w:type="dxa"/>
            <w:vMerge/>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c>
          <w:tcPr>
            <w:tcW w:w="461"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lastRenderedPageBreak/>
              <w:t>I7</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Acquire infrastructure (i.e. bins for the separation of waste at source)</w:t>
            </w:r>
          </w:p>
        </w:tc>
        <w:tc>
          <w:tcPr>
            <w:tcW w:w="1269" w:type="dxa"/>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361"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3969" w:type="dxa"/>
            <w:vMerge/>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c>
          <w:tcPr>
            <w:tcW w:w="461" w:type="dxa"/>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I8</w:t>
            </w:r>
          </w:p>
        </w:tc>
        <w:tc>
          <w:tcPr>
            <w:tcW w:w="4787" w:type="dxa"/>
            <w:gridSpan w:val="2"/>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Implement/participate in awareness/education programmes on waste management</w:t>
            </w:r>
          </w:p>
        </w:tc>
        <w:tc>
          <w:tcPr>
            <w:tcW w:w="1269" w:type="dxa"/>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361"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3969" w:type="dxa"/>
            <w:vMerge/>
            <w:vAlign w:val="center"/>
          </w:tcPr>
          <w:p w:rsidR="00A8031C" w:rsidRPr="001676CA" w:rsidRDefault="00A8031C" w:rsidP="003E36A5">
            <w:pPr>
              <w:snapToGrid w:val="0"/>
              <w:spacing w:after="0" w:line="240" w:lineRule="auto"/>
              <w:jc w:val="left"/>
              <w:rPr>
                <w:rFonts w:ascii="Arial" w:hAnsi="Arial" w:cs="Arial"/>
                <w:sz w:val="18"/>
                <w:lang w:val="en-GB"/>
              </w:rPr>
            </w:pPr>
          </w:p>
        </w:tc>
      </w:tr>
      <w:tr w:rsidR="00A8031C" w:rsidRPr="00451246" w:rsidTr="003E36A5">
        <w:tc>
          <w:tcPr>
            <w:tcW w:w="461" w:type="dxa"/>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I9</w:t>
            </w:r>
          </w:p>
        </w:tc>
        <w:tc>
          <w:tcPr>
            <w:tcW w:w="4787" w:type="dxa"/>
            <w:gridSpan w:val="2"/>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r w:rsidRPr="001676CA">
              <w:rPr>
                <w:rFonts w:ascii="Arial" w:hAnsi="Arial" w:cs="Arial"/>
                <w:sz w:val="18"/>
                <w:lang w:val="en-GB"/>
              </w:rPr>
              <w:t>Support the involvement of local communities in waste management</w:t>
            </w:r>
          </w:p>
        </w:tc>
        <w:tc>
          <w:tcPr>
            <w:tcW w:w="1269" w:type="dxa"/>
            <w:tcBorders>
              <w:bottom w:val="single" w:sz="4" w:space="0" w:color="auto"/>
            </w:tcBorders>
            <w:vAlign w:val="center"/>
          </w:tcPr>
          <w:p w:rsidR="00A8031C" w:rsidRPr="001676CA" w:rsidRDefault="00A8031C" w:rsidP="003E36A5">
            <w:pPr>
              <w:snapToGrid w:val="0"/>
              <w:spacing w:after="0" w:line="240" w:lineRule="auto"/>
              <w:jc w:val="center"/>
              <w:rPr>
                <w:rFonts w:ascii="Arial" w:hAnsi="Arial" w:cs="Arial"/>
                <w:sz w:val="18"/>
                <w:lang w:val="en-GB"/>
              </w:rPr>
            </w:pPr>
          </w:p>
        </w:tc>
        <w:tc>
          <w:tcPr>
            <w:tcW w:w="1361" w:type="dxa"/>
            <w:tcBorders>
              <w:bottom w:val="single" w:sz="4" w:space="0" w:color="auto"/>
            </w:tcBorders>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1903" w:type="dxa"/>
            <w:tcBorders>
              <w:bottom w:val="single" w:sz="4" w:space="0" w:color="auto"/>
            </w:tcBorders>
            <w:vAlign w:val="center"/>
          </w:tcPr>
          <w:p w:rsidR="00A8031C" w:rsidRPr="001676CA" w:rsidRDefault="00A8031C" w:rsidP="003E36A5">
            <w:pPr>
              <w:snapToGrid w:val="0"/>
              <w:spacing w:after="0" w:line="240" w:lineRule="auto"/>
              <w:jc w:val="center"/>
              <w:rPr>
                <w:sz w:val="18"/>
                <w:lang w:val="en-GB"/>
              </w:rPr>
            </w:pPr>
            <w:r w:rsidRPr="001676CA">
              <w:rPr>
                <w:rFonts w:ascii="Arial" w:hAnsi="Arial" w:cs="Arial"/>
                <w:sz w:val="18"/>
                <w:lang w:val="en-GB"/>
              </w:rPr>
              <w:t>√</w:t>
            </w:r>
          </w:p>
        </w:tc>
        <w:tc>
          <w:tcPr>
            <w:tcW w:w="3969" w:type="dxa"/>
            <w:vMerge/>
            <w:tcBorders>
              <w:bottom w:val="single" w:sz="4" w:space="0" w:color="auto"/>
            </w:tcBorders>
            <w:vAlign w:val="center"/>
          </w:tcPr>
          <w:p w:rsidR="00A8031C" w:rsidRPr="001676CA" w:rsidRDefault="00A8031C" w:rsidP="003E36A5">
            <w:pPr>
              <w:snapToGrid w:val="0"/>
              <w:spacing w:after="0" w:line="240" w:lineRule="auto"/>
              <w:jc w:val="left"/>
              <w:rPr>
                <w:rFonts w:ascii="Arial" w:hAnsi="Arial" w:cs="Arial"/>
                <w:sz w:val="18"/>
                <w:lang w:val="en-GB"/>
              </w:rPr>
            </w:pPr>
          </w:p>
        </w:tc>
      </w:tr>
    </w:tbl>
    <w:p w:rsidR="00CD2583" w:rsidRDefault="00CD2583"/>
    <w:sectPr w:rsidR="00CD2583" w:rsidSect="00A803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EF" w:rsidRDefault="00E329EF" w:rsidP="00A8031C">
      <w:pPr>
        <w:spacing w:after="0" w:line="240" w:lineRule="auto"/>
      </w:pPr>
      <w:r>
        <w:separator/>
      </w:r>
    </w:p>
  </w:endnote>
  <w:endnote w:type="continuationSeparator" w:id="0">
    <w:p w:rsidR="00E329EF" w:rsidRDefault="00E329EF" w:rsidP="00A8031C">
      <w:pPr>
        <w:spacing w:after="0" w:line="240" w:lineRule="auto"/>
      </w:pPr>
      <w:r>
        <w:continuationSeparator/>
      </w:r>
    </w:p>
  </w:endnote>
  <w:endnote w:id="1">
    <w:p w:rsidR="00A8031C" w:rsidRPr="003E3023" w:rsidRDefault="00A8031C" w:rsidP="00A8031C">
      <w:pPr>
        <w:pStyle w:val="EndnoteText"/>
        <w:rPr>
          <w:lang w:val="en-US"/>
        </w:rPr>
      </w:pPr>
      <w:r>
        <w:rPr>
          <w:rStyle w:val="EndnoteReference"/>
        </w:rPr>
        <w:endnoteRef/>
      </w:r>
      <w:r>
        <w:t xml:space="preserve"> </w:t>
      </w:r>
      <w:r w:rsidRPr="00B1393D">
        <w:rPr>
          <w:rFonts w:ascii="Arial" w:hAnsi="Arial" w:cs="Arial"/>
          <w:sz w:val="18"/>
        </w:rPr>
        <w:t xml:space="preserve">Measured with a 5-point </w:t>
      </w:r>
      <w:r>
        <w:rPr>
          <w:rFonts w:ascii="Arial" w:hAnsi="Arial" w:cs="Arial"/>
          <w:sz w:val="18"/>
        </w:rPr>
        <w:t xml:space="preserve">ordinal </w:t>
      </w:r>
      <w:r w:rsidRPr="00B1393D">
        <w:rPr>
          <w:rFonts w:ascii="Arial" w:hAnsi="Arial" w:cs="Arial"/>
          <w:sz w:val="18"/>
        </w:rPr>
        <w:t>scale (Strongly disagree = 1, disagree = 2, neutral = 3, agree = 4, strongly agree = 5).</w:t>
      </w:r>
    </w:p>
  </w:endnote>
  <w:endnote w:id="2">
    <w:p w:rsidR="00A8031C" w:rsidRPr="008203F0" w:rsidRDefault="00A8031C" w:rsidP="00A8031C">
      <w:pPr>
        <w:pStyle w:val="EndnoteText"/>
        <w:rPr>
          <w:lang w:val="en-US"/>
        </w:rPr>
      </w:pPr>
      <w:r>
        <w:rPr>
          <w:rStyle w:val="EndnoteReference"/>
        </w:rPr>
        <w:endnoteRef/>
      </w:r>
      <w:r>
        <w:t xml:space="preserve"> </w:t>
      </w:r>
      <w:r w:rsidRPr="00FE7E8C">
        <w:rPr>
          <w:rFonts w:ascii="Arial" w:hAnsi="Arial" w:cs="Arial"/>
          <w:sz w:val="18"/>
        </w:rPr>
        <w:t xml:space="preserve">Measured with a 4-point </w:t>
      </w:r>
      <w:r>
        <w:rPr>
          <w:rFonts w:ascii="Arial" w:hAnsi="Arial" w:cs="Arial"/>
          <w:sz w:val="18"/>
        </w:rPr>
        <w:t xml:space="preserve">ordinal </w:t>
      </w:r>
      <w:r w:rsidRPr="00FE7E8C">
        <w:rPr>
          <w:rFonts w:ascii="Arial" w:hAnsi="Arial" w:cs="Arial"/>
          <w:sz w:val="18"/>
        </w:rPr>
        <w:t>scale (Do not support = 1, Neutral = 2, Partially support = 3, Fully support = 4)</w:t>
      </w:r>
      <w:r>
        <w:rPr>
          <w:rFonts w:ascii="Arial" w:hAnsi="Arial" w:cs="Arial"/>
          <w:sz w:val="18"/>
        </w:rPr>
        <w:t>.</w:t>
      </w:r>
    </w:p>
  </w:endnote>
  <w:endnote w:id="3">
    <w:p w:rsidR="00A8031C" w:rsidRPr="00DA3871" w:rsidRDefault="00A8031C" w:rsidP="00A8031C">
      <w:pPr>
        <w:pStyle w:val="EndnoteText"/>
        <w:rPr>
          <w:lang w:val="en-US"/>
        </w:rPr>
      </w:pPr>
      <w:r>
        <w:rPr>
          <w:rStyle w:val="EndnoteReference"/>
        </w:rPr>
        <w:endnoteRef/>
      </w:r>
      <w:r>
        <w:t xml:space="preserve"> </w:t>
      </w:r>
      <w:r w:rsidRPr="00F015D8">
        <w:rPr>
          <w:rFonts w:ascii="Arial" w:hAnsi="Arial" w:cs="Arial"/>
          <w:sz w:val="18"/>
          <w:lang w:val="en-US"/>
        </w:rPr>
        <w:t xml:space="preserve">Measured with a 4-point </w:t>
      </w:r>
      <w:r>
        <w:rPr>
          <w:rFonts w:ascii="Arial" w:hAnsi="Arial" w:cs="Arial"/>
          <w:sz w:val="18"/>
          <w:lang w:val="en-US"/>
        </w:rPr>
        <w:t xml:space="preserve">ordinal </w:t>
      </w:r>
      <w:r w:rsidRPr="00F015D8">
        <w:rPr>
          <w:rFonts w:ascii="Arial" w:hAnsi="Arial" w:cs="Arial"/>
          <w:sz w:val="18"/>
          <w:lang w:val="en-US"/>
        </w:rPr>
        <w:t>scale (Unwilling = 1, Neutral = 2, Willing, but only under certain conditions = 3, Willing = 4)</w:t>
      </w:r>
      <w:r>
        <w:rPr>
          <w:rFonts w:ascii="Arial" w:hAnsi="Arial" w:cs="Arial"/>
          <w:sz w:val="18"/>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EF" w:rsidRDefault="00E329EF" w:rsidP="00A8031C">
      <w:pPr>
        <w:spacing w:after="0" w:line="240" w:lineRule="auto"/>
      </w:pPr>
      <w:r>
        <w:separator/>
      </w:r>
    </w:p>
  </w:footnote>
  <w:footnote w:type="continuationSeparator" w:id="0">
    <w:p w:rsidR="00E329EF" w:rsidRDefault="00E329EF" w:rsidP="00A80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1C"/>
    <w:rsid w:val="000B59FF"/>
    <w:rsid w:val="00242983"/>
    <w:rsid w:val="002B53D5"/>
    <w:rsid w:val="003065B1"/>
    <w:rsid w:val="003E258B"/>
    <w:rsid w:val="003E36A5"/>
    <w:rsid w:val="003E70AA"/>
    <w:rsid w:val="00626D82"/>
    <w:rsid w:val="00734619"/>
    <w:rsid w:val="0080052E"/>
    <w:rsid w:val="00856B6F"/>
    <w:rsid w:val="00897439"/>
    <w:rsid w:val="008C1AD4"/>
    <w:rsid w:val="00961E55"/>
    <w:rsid w:val="00A8031C"/>
    <w:rsid w:val="00C40032"/>
    <w:rsid w:val="00C6119A"/>
    <w:rsid w:val="00CD2583"/>
    <w:rsid w:val="00D37DA1"/>
    <w:rsid w:val="00D94452"/>
    <w:rsid w:val="00E329EF"/>
  </w:rsids>
  <m:mathPr>
    <m:mathFont m:val="Cambria Math"/>
    <m:brkBin m:val="before"/>
    <m:brkBinSub m:val="--"/>
    <m:smallFrac m:val="0"/>
    <m:dispDef/>
    <m:lMargin m:val="0"/>
    <m:rMargin m:val="0"/>
    <m:defJc m:val="centerGroup"/>
    <m:wrapIndent m:val="1440"/>
    <m:intLim m:val="subSup"/>
    <m:naryLim m:val="undOvr"/>
  </m:mathPr>
  <w:themeFontLang w:val="en-ZA"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9BF2"/>
  <w15:chartTrackingRefBased/>
  <w15:docId w15:val="{828DEFB5-D98D-4968-AA72-519F33DE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ZA" w:eastAsia="ii-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1C"/>
    <w:pPr>
      <w:spacing w:after="160" w:line="259"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autoRedefine/>
    <w:qFormat/>
    <w:rsid w:val="00961E55"/>
    <w:pPr>
      <w:keepNext/>
      <w:tabs>
        <w:tab w:val="left" w:pos="851"/>
      </w:tabs>
      <w:spacing w:before="120" w:after="240" w:line="360" w:lineRule="auto"/>
      <w:ind w:left="720" w:hanging="720"/>
      <w:outlineLvl w:val="2"/>
    </w:pPr>
    <w:rPr>
      <w:rFonts w:ascii="Arial" w:eastAsia="Times New Roman" w:hAnsi="Arial" w:cs="Arial"/>
      <w:b/>
      <w:bCs/>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1E55"/>
    <w:rPr>
      <w:rFonts w:ascii="Arial" w:eastAsia="Times New Roman" w:hAnsi="Arial" w:cs="Arial"/>
      <w:b/>
      <w:bCs/>
      <w:sz w:val="22"/>
      <w:lang w:eastAsia="en-ZA"/>
    </w:rPr>
  </w:style>
  <w:style w:type="paragraph" w:customStyle="1" w:styleId="Style1">
    <w:name w:val="Style1"/>
    <w:basedOn w:val="Heading3"/>
    <w:qFormat/>
    <w:rsid w:val="00961E55"/>
    <w:pPr>
      <w:numPr>
        <w:ilvl w:val="2"/>
      </w:numPr>
      <w:tabs>
        <w:tab w:val="num" w:pos="720"/>
      </w:tabs>
      <w:ind w:left="720" w:hanging="720"/>
    </w:pPr>
    <w:rPr>
      <w:lang w:eastAsia="en-US"/>
    </w:rPr>
  </w:style>
  <w:style w:type="table" w:styleId="TableGrid">
    <w:name w:val="Table Grid"/>
    <w:basedOn w:val="TableNormal"/>
    <w:uiPriority w:val="39"/>
    <w:rsid w:val="00A8031C"/>
    <w:pPr>
      <w:spacing w:after="120"/>
      <w:jc w:val="both"/>
    </w:pPr>
    <w:rPr>
      <w:rFonts w:eastAsia="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803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031C"/>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A8031C"/>
    <w:rPr>
      <w:vertAlign w:val="superscript"/>
    </w:rPr>
  </w:style>
  <w:style w:type="paragraph" w:styleId="BalloonText">
    <w:name w:val="Balloon Text"/>
    <w:basedOn w:val="Normal"/>
    <w:link w:val="BalloonTextChar"/>
    <w:uiPriority w:val="99"/>
    <w:semiHidden/>
    <w:unhideWhenUsed/>
    <w:rsid w:val="0085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B6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FE6FE71AEE6418ED1655ED74A5B94" ma:contentTypeVersion="10" ma:contentTypeDescription="Create a new document." ma:contentTypeScope="" ma:versionID="88eb89b9d73ca2f789ecf9dd158528e1">
  <xsd:schema xmlns:xsd="http://www.w3.org/2001/XMLSchema" xmlns:xs="http://www.w3.org/2001/XMLSchema" xmlns:p="http://schemas.microsoft.com/office/2006/metadata/properties" xmlns:ns2="9e952be8-4b18-4aac-8795-bc7d2eaacd99" targetNamespace="http://schemas.microsoft.com/office/2006/metadata/properties" ma:root="true" ma:fieldsID="afb87d2f6dc46af49675a1f9db716a99" ns2:_="">
    <xsd:import namespace="9e952be8-4b18-4aac-8795-bc7d2eaac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52be8-4b18-4aac-8795-bc7d2eaac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AD997-0D81-4E18-9395-0CF68F68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52be8-4b18-4aac-8795-bc7d2eaac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182FF-97B0-40D4-B980-50CC24057487}">
  <ds:schemaRefs>
    <ds:schemaRef ds:uri="http://schemas.microsoft.com/sharepoint/v3/contenttype/forms"/>
  </ds:schemaRefs>
</ds:datastoreItem>
</file>

<file path=customXml/itemProps3.xml><?xml version="1.0" encoding="utf-8"?>
<ds:datastoreItem xmlns:ds="http://schemas.openxmlformats.org/officeDocument/2006/customXml" ds:itemID="{1B30C486-05D9-4C7F-B091-148F021D7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12568473</dc:creator>
  <cp:keywords/>
  <dc:description/>
  <cp:lastModifiedBy>12568473</cp:lastModifiedBy>
  <cp:revision>3</cp:revision>
  <dcterms:created xsi:type="dcterms:W3CDTF">2021-11-02T06:08:00Z</dcterms:created>
  <dcterms:modified xsi:type="dcterms:W3CDTF">2021-11-02T06:08:00Z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0x01010096DFE6FE71AEE6418ED1655ED74A5B94</vt:lpwstr>
  </property>
</Properties>
</file>